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创艺简标宋" w:hAnsi="宋体" w:eastAsia="创艺简标宋"/>
          <w:color w:val="FF0000"/>
          <w:w w:val="62"/>
          <w:sz w:val="100"/>
          <w:szCs w:val="100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CLWD02-2025-0003</w:t>
      </w:r>
    </w:p>
    <w:p>
      <w:pPr>
        <w:spacing w:line="520" w:lineRule="exact"/>
        <w:rPr>
          <w:rFonts w:ascii="宋体" w:cs="方正小标宋_GBK"/>
          <w:color w:val="FF0000"/>
          <w:spacing w:val="30"/>
          <w:w w:val="66"/>
          <w:szCs w:val="44"/>
        </w:rPr>
      </w:pPr>
    </w:p>
    <w:p>
      <w:pPr>
        <w:spacing w:line="1040" w:lineRule="exact"/>
        <w:jc w:val="center"/>
        <w:rPr>
          <w:rFonts w:hint="eastAsia" w:ascii="宋体" w:eastAsia="方正小标宋_GBK" w:cs="方正小标宋_GBK"/>
          <w:color w:val="FF0000"/>
          <w:spacing w:val="28"/>
          <w:w w:val="80"/>
          <w:sz w:val="20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65"/>
          <w:sz w:val="96"/>
          <w:szCs w:val="44"/>
        </w:rPr>
        <w:t>温州市龙湾区</w:t>
      </w:r>
      <w:r>
        <w:rPr>
          <w:rFonts w:hint="eastAsia" w:ascii="方正小标宋_GBK" w:hAnsi="方正小标宋_GBK" w:eastAsia="方正小标宋_GBK" w:cs="方正小标宋_GBK"/>
          <w:color w:val="FF0000"/>
          <w:spacing w:val="0"/>
          <w:w w:val="65"/>
          <w:sz w:val="96"/>
          <w:szCs w:val="44"/>
          <w:lang w:eastAsia="zh-CN"/>
        </w:rPr>
        <w:t>发展和改革局文件</w:t>
      </w:r>
    </w:p>
    <w:p>
      <w:pPr>
        <w:spacing w:line="520" w:lineRule="exact"/>
        <w:rPr>
          <w:rFonts w:ascii="宋体" w:cs="方正小标宋_GBK"/>
          <w:color w:val="FF0000"/>
          <w:spacing w:val="30"/>
          <w:w w:val="66"/>
          <w:szCs w:val="44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FF0000"/>
          <w:spacing w:val="30"/>
          <w:w w:val="6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温龙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发改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号                  </w:t>
      </w:r>
    </w:p>
    <w:p>
      <w:pPr>
        <w:pBdr>
          <w:bottom w:val="single" w:color="FF0000" w:sz="36" w:space="1"/>
        </w:pBdr>
        <w:spacing w:line="80" w:lineRule="exact"/>
        <w:rPr>
          <w:rFonts w:ascii="宋体" w:cs="方正小标宋_GBK"/>
          <w:color w:val="FF0000"/>
          <w:spacing w:val="30"/>
          <w:w w:val="66"/>
          <w:sz w:val="28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b w:val="0"/>
          <w:bCs/>
          <w:sz w:val="44"/>
          <w:szCs w:val="44"/>
          <w:lang w:eastAsia="zh-CN"/>
        </w:rPr>
        <w:t>关于印发《温州湾新区、龙湾区电力用户低压脱扣装置管理工作意见》的通知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龙湾供电分局、永强供电公司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，各相关企业、单位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减少电压暂降及相关停电事件对电网和用户的影响，平衡用户侧用电可靠性和终端设备运行安全性需求，现结合温州湾新区、温州龙湾区电力用户低压脱扣装置实际情况，编制《温州湾新区、温州龙湾区电力用户低压脱扣装置管理工作意见》，印发给你们，请结合实际状况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附件：温州湾新区、温州龙湾区电力用户低压脱扣装置管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温州市龙湾区发展和改革局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2025年12月9日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inorHAnsi" w:hAnsiTheme="minorHAnsi" w:eastAsiaTheme="minorEastAsia" w:cstheme="minorBidi"/>
          <w:b w:val="0"/>
          <w:bCs w:val="0"/>
          <w:color w:val="auto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Theme="minorHAnsi" w:hAnsiTheme="minorHAnsi" w:eastAsiaTheme="minorEastAsia" w:cstheme="minorBidi"/>
          <w:color w:val="auto"/>
          <w:sz w:val="21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温州湾新区、龙湾区电力用户低压脱扣装置管理工作意见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b w:val="0"/>
          <w:bCs w:val="0"/>
          <w:color w:val="auto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为减少电压暂降及相关停电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件对温州湾新区、温州龙湾区电网和电力用户的影响，平衡用户侧用电可靠性和终端设备运行安全性需求，结合温州湾新区、温州龙湾区实际，针对温州湾新区、温州龙湾区范围内用户低压脱扣装置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（以下简称脱扣装置）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，明确相关配置标准分类和管理工作要求。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一、低压脱扣配置建议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（一）第一类：原则上应合理配置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1.生产工艺或运行管理规定要求，或其安全生产管理相关明确要求，恢复供电必须遵循一定原则或顺序的用户，如储油库、化工部分生产线等。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2.对电压质量要求较高的用户，如精密制造、芯片制造、电子产品等高新技术类用户；配置精密设备的医院、自动化码头等自动化程度较高或电力电子系统应用率较高的用户。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3.电压暂降会造成设备损坏或生产损失的用户，如大型水泵、安装氙气灯的体育场馆等大电流会造成设备损坏的用户；安装车床、传送带、液压泵等电动机设备的用户。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4.用户配置脱扣装置时，应选择具备可调节延时功能的设备。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（二）第二类：可不配置或退出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1.对电能质量要求不高，但对供电可靠性要求较高，需要持续供电的用户，如居民小区、商业楼宇、学校、公共事业等用户的日常照明等日常普通负荷。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2.用户末端有二级及以上负荷，且不在上述第一类用户范围内，由多电源供电（包括自备电源）、具有高压或低压电源自动切换装置的用户。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（三）第三类：选择性配置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除第一类、第二类以外的用户，可结合自身情况配置脱扣装置。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（四）其他配置要求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1.脱扣装置不应安装在低压进线总柜或联络柜，应尽量配置于直接为负荷供电的开关，根据所带负荷性质确定低压脱扣延时参数配置，分布式电源支路的开关应避免配置脱扣装置。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应依据负荷特性配置低压脱扣装置，不可无差别投入低压脱扣；除必须瞬时切除的设备外，如电动机、高精密仪器等其他设备的低压脱扣装置应有一定延时，在不损坏设备和产品、不危及人身安全的情况下，延时根据当地电网实际情况，一般情况下建议设置在1.5秒以上，用电户根据内部实际情况可适当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二、工作要求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（一）加强源头管控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供电营业规则》要求，用户受电侧的继电保护装置、安全自动装置应当与电力系统的继电保护方式互相配合。供电部门应积极开展脱扣装置配置及使用相关技术标准的宣传讲解，指导用户做好脱扣装置运维管理，对新增用电项目，供电部门应明确新装用户脱扣装置保护配置要求，并在用户报装各环节严格把关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1.供电方案规范配置。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对于新增用电项目，供电方案答复中应明确脱扣配置要求、安装位置、延时设置等，将脱扣配置标准内容纳入供电方案，并书面告知用户。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2.设计审查严格把关。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对35KV及以上用户、多电源用户及重要用户，在设计文件审核环节应严格审查脱扣装置配置要求，杜绝脱扣装置“应装未装、误装错装、无延时可调功能”等情况。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3.竣工检验细致核对。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竣工检验时应认真核查脱扣装置配置和延时等相关参数，确保试验报告、设计文件、竣工图等竣工资料与现场设备保持一致。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（二）存量排查治理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1.全面开展排查工作。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供电部门应按照脱扣装置配置建议要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求，定期对温州湾新区、温州龙湾区域内全量高压专变用户开展脱扣装置排查工作，对脱扣装置安装不规范、参数配置不合理等问题，要督促并指导用户落实整改。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2.加强设备运维管理。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力用户应按照相关规程规范做好脱扣装置的日常运维管理。供电部门为保障电网运行安全对其进行用电检查时，用户应提供必要方便和配合。如发现脱扣装置安装不规范、参数配置不合理等异常问题，用户应根据供电部门指导意见进行隐患治理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3.开展现场改造工作。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各供电部门要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用户侧脱扣装置改造及隐患治理。针对精密制造业、医院等第一类用户，应结合用户自身生产实际和运行管理的需求，装设脱扣延时可调装置（不小于1.5秒）。针对党政机关、居民小区物业、学校、商业综合体等第二类用户，全量落实脱扣装置改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三、附则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本办法自2026年1月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ascii="仿宋_GB2312" w:hAnsi="Calibri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624" w:rightChars="297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仿宋_GB2312" w:hAnsi="Calibri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563181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3.1pt;height:0pt;width:443.45pt;z-index:251661312;mso-width-relative:page;mso-height-relative:page;" filled="f" stroked="t" coordsize="21600,21600" o:gfxdata="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t5LP0gAAAAQBAAAPAAAAAAAAAAEAIAAAACIAAABkcnMvZG93bnJldi54bWxQSwECFAAUAAAA&#10;CACHTuJAYDT4APQBAADkAwAADgAAAAAAAAABACAAAAAhAQAAZHJzL2Uyb0RvYy54bWxQSwUGAAAA&#10;AAYABgBZAQAAhwUAAAAA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Calibri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354330</wp:posOffset>
                </wp:positionV>
                <wp:extent cx="559816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160" cy="0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5pt;margin-top:27.9pt;height:0pt;width:440.8pt;z-index:251660288;mso-width-relative:page;mso-height-relative:page;" filled="f" stroked="t" coordsize="21600,21600" o:gfxdata="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t4P9LVAAAABwEAAA8AAAAAAAAAAQAgAAAAIgAAAGRycy9kb3ducmV2LnhtbFBLAQIUABQA&#10;AAAIAIdO4kDALhen8wEAAOQDAAAOAAAAAAAAAAEAIAAAACQBAABkcnMvZTJvRG9jLnhtbFBLBQYA&#10;AAAABgAGAFkBAACJ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温州市龙湾区发展和改革局办公室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6F00" w:csb1="6E000000"/>
  </w:font>
  <w:font w:name="方正小标宋_GBK">
    <w:panose1 w:val="020B0300000000000000"/>
    <w:charset w:val="86"/>
    <w:family w:val="swiss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NThhNGZiYzBiNTlkYmY2ZDBkNDBlZjM1ZWEwOTkifQ=="/>
  </w:docVars>
  <w:rsids>
    <w:rsidRoot w:val="00000000"/>
    <w:rsid w:val="0174782C"/>
    <w:rsid w:val="02B31B7A"/>
    <w:rsid w:val="11FB3414"/>
    <w:rsid w:val="15C04A24"/>
    <w:rsid w:val="29F03ACF"/>
    <w:rsid w:val="31013199"/>
    <w:rsid w:val="313C6BA6"/>
    <w:rsid w:val="34AB41DD"/>
    <w:rsid w:val="37DC2AB0"/>
    <w:rsid w:val="382F5117"/>
    <w:rsid w:val="3B49050C"/>
    <w:rsid w:val="3B727829"/>
    <w:rsid w:val="3BAF7A71"/>
    <w:rsid w:val="4A820858"/>
    <w:rsid w:val="556C7D0C"/>
    <w:rsid w:val="58F4620A"/>
    <w:rsid w:val="58F643E2"/>
    <w:rsid w:val="5C47420C"/>
    <w:rsid w:val="6257746D"/>
    <w:rsid w:val="62A60BF9"/>
    <w:rsid w:val="6502367D"/>
    <w:rsid w:val="696B5F6F"/>
    <w:rsid w:val="6AAF599B"/>
    <w:rsid w:val="6B966FCA"/>
    <w:rsid w:val="733004CC"/>
    <w:rsid w:val="7AF0796F"/>
    <w:rsid w:val="7BBE185D"/>
    <w:rsid w:val="7BEE0277"/>
    <w:rsid w:val="7C2655B9"/>
    <w:rsid w:val="7C341B00"/>
    <w:rsid w:val="7E4D969D"/>
    <w:rsid w:val="7E9A023A"/>
    <w:rsid w:val="7FFFE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249</Words>
  <Characters>257</Characters>
  <Lines>0</Lines>
  <Paragraphs>0</Paragraphs>
  <TotalTime>45</TotalTime>
  <ScaleCrop>false</ScaleCrop>
  <LinksUpToDate>false</LinksUpToDate>
  <CharactersWithSpaces>330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项琦棋</cp:lastModifiedBy>
  <cp:lastPrinted>2025-12-25T01:22:00Z</cp:lastPrinted>
  <dcterms:modified xsi:type="dcterms:W3CDTF">2026-01-04T01:43:26Z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B6E30B893C834C55B45658AECF75550E_13</vt:lpwstr>
  </property>
  <property fmtid="{D5CDD505-2E9C-101B-9397-08002B2CF9AE}" pid="4" name="KSOTemplateDocerSaveRecord">
    <vt:lpwstr>eyJoZGlkIjoiYjNiYTMxOTFkMzcyMjIwZjg0ZDQ2NmYyMTA4ZjJlYjEiLCJ1c2VySWQiOiIxNjM5NjgwNzA0In0=</vt:lpwstr>
  </property>
</Properties>
</file>